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D9" w:rsidRPr="00701C00" w:rsidRDefault="008218D9" w:rsidP="008218D9">
      <w:pPr>
        <w:tabs>
          <w:tab w:val="left" w:pos="4536"/>
        </w:tabs>
        <w:jc w:val="center"/>
        <w:rPr>
          <w:rFonts w:cs="Times New Roman"/>
          <w:sz w:val="24"/>
          <w:szCs w:val="24"/>
        </w:rPr>
      </w:pPr>
      <w:r w:rsidRPr="00701C00">
        <w:rPr>
          <w:rFonts w:cs="Times New Roman"/>
          <w:sz w:val="24"/>
          <w:szCs w:val="24"/>
        </w:rPr>
        <w:object w:dxaOrig="829" w:dyaOrig="1194">
          <v:rect id="rectole0000000005" o:spid="_x0000_i1025" style="width:42pt;height:48pt" o:ole="" o:preferrelative="t" stroked="f">
            <v:imagedata r:id="rId8" o:title=""/>
          </v:rect>
          <o:OLEObject Type="Embed" ProgID="StaticMetafile" ShapeID="rectole0000000005" DrawAspect="Content" ObjectID="_1669798968" r:id="rId9"/>
        </w:object>
      </w:r>
    </w:p>
    <w:p w:rsidR="008218D9" w:rsidRPr="00E20218" w:rsidRDefault="008218D9" w:rsidP="008218D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0218">
        <w:rPr>
          <w:rFonts w:ascii="Times New Roman" w:hAnsi="Times New Roman" w:cs="Times New Roman"/>
          <w:color w:val="000000"/>
          <w:sz w:val="24"/>
          <w:szCs w:val="24"/>
        </w:rPr>
        <w:t>Республика Крым</w:t>
      </w:r>
    </w:p>
    <w:p w:rsidR="008218D9" w:rsidRPr="00E20218" w:rsidRDefault="008218D9" w:rsidP="008218D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0218">
        <w:rPr>
          <w:rFonts w:ascii="Times New Roman" w:hAnsi="Times New Roman" w:cs="Times New Roman"/>
          <w:color w:val="000000"/>
          <w:sz w:val="24"/>
          <w:szCs w:val="24"/>
        </w:rPr>
        <w:t>Белогорский район</w:t>
      </w:r>
    </w:p>
    <w:p w:rsidR="008218D9" w:rsidRPr="00E20218" w:rsidRDefault="008218D9" w:rsidP="008218D9">
      <w:pPr>
        <w:spacing w:after="0"/>
        <w:ind w:left="432" w:hanging="4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0218">
        <w:rPr>
          <w:rFonts w:ascii="Times New Roman" w:hAnsi="Times New Roman" w:cs="Times New Roman"/>
          <w:color w:val="000000"/>
          <w:sz w:val="24"/>
          <w:szCs w:val="24"/>
        </w:rPr>
        <w:t>ЗЫБИНСКИЙ СЕЛЬСКИЙ СОВЕТ</w:t>
      </w:r>
    </w:p>
    <w:p w:rsidR="008218D9" w:rsidRPr="00E20218" w:rsidRDefault="008218D9" w:rsidP="008218D9">
      <w:pPr>
        <w:spacing w:after="0"/>
        <w:ind w:left="720" w:hanging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02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688E" w:rsidRPr="00E202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20218">
        <w:rPr>
          <w:rFonts w:ascii="Times New Roman" w:hAnsi="Times New Roman" w:cs="Times New Roman"/>
          <w:color w:val="000000"/>
          <w:sz w:val="24"/>
          <w:szCs w:val="24"/>
        </w:rPr>
        <w:t>-я сессия  2-го созыва</w:t>
      </w:r>
    </w:p>
    <w:p w:rsidR="008218D9" w:rsidRPr="00E20218" w:rsidRDefault="008218D9" w:rsidP="008218D9">
      <w:pPr>
        <w:ind w:left="720" w:hanging="720"/>
        <w:jc w:val="center"/>
        <w:rPr>
          <w:rFonts w:cs="Times New Roman"/>
          <w:b/>
          <w:sz w:val="24"/>
          <w:szCs w:val="24"/>
        </w:rPr>
      </w:pPr>
    </w:p>
    <w:p w:rsidR="008218D9" w:rsidRPr="00E20218" w:rsidRDefault="008218D9" w:rsidP="0082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1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210BB5" w:rsidRPr="00E20218" w:rsidRDefault="00D40AA3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hAnsi="Times New Roman" w:cs="Times New Roman"/>
          <w:bCs/>
          <w:sz w:val="24"/>
          <w:szCs w:val="24"/>
        </w:rPr>
        <w:t>16 декабря</w:t>
      </w:r>
      <w:r w:rsidR="00210BB5" w:rsidRPr="00E20218">
        <w:rPr>
          <w:rFonts w:ascii="Times New Roman" w:hAnsi="Times New Roman" w:cs="Times New Roman"/>
          <w:bCs/>
          <w:sz w:val="24"/>
          <w:szCs w:val="24"/>
        </w:rPr>
        <w:t xml:space="preserve"> 2020 г.                  </w:t>
      </w:r>
      <w:r w:rsidR="00E20218" w:rsidRPr="00E20218">
        <w:rPr>
          <w:rFonts w:ascii="Times New Roman" w:hAnsi="Times New Roman" w:cs="Times New Roman"/>
          <w:bCs/>
          <w:sz w:val="24"/>
          <w:szCs w:val="24"/>
        </w:rPr>
        <w:t>село Зыбины</w:t>
      </w:r>
      <w:r w:rsidR="00210BB5" w:rsidRPr="00E202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№</w:t>
      </w:r>
      <w:r w:rsidRPr="00E20218">
        <w:rPr>
          <w:rFonts w:ascii="Times New Roman" w:hAnsi="Times New Roman" w:cs="Times New Roman"/>
          <w:bCs/>
          <w:sz w:val="24"/>
          <w:szCs w:val="24"/>
        </w:rPr>
        <w:t xml:space="preserve"> 64</w:t>
      </w:r>
    </w:p>
    <w:p w:rsidR="00210BB5" w:rsidRPr="00E20218" w:rsidRDefault="00210BB5" w:rsidP="00AC71E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0BB5" w:rsidRPr="00E20218" w:rsidRDefault="00210BB5" w:rsidP="00E202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 увековечении памяти выдающихся событий и личностей</w:t>
      </w:r>
    </w:p>
    <w:p w:rsidR="00210BB5" w:rsidRPr="00E20218" w:rsidRDefault="00210BB5" w:rsidP="00E202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 муниципального образования</w:t>
      </w:r>
    </w:p>
    <w:p w:rsidR="00210BB5" w:rsidRPr="00E20218" w:rsidRDefault="00612BBC" w:rsidP="00E202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Зыбинского </w:t>
      </w:r>
      <w:r w:rsidR="00702B8C" w:rsidRPr="00E202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 Белогорского</w:t>
      </w:r>
      <w:r w:rsidR="00210BB5" w:rsidRPr="00E2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0BB5" w:rsidRPr="00E202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</w:t>
      </w:r>
    </w:p>
    <w:p w:rsidR="00210BB5" w:rsidRPr="00E20218" w:rsidRDefault="00210BB5" w:rsidP="00E202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10" w:history="1">
        <w:r w:rsidRPr="00E202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 131-ФЗ «Об общих принципах организации местного самоуправления в Российской Федерации», </w:t>
      </w:r>
      <w:hyperlink r:id="rId11" w:history="1">
        <w:r w:rsidRPr="00E202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Крым от 21.08.2014 № 54-ЗРК «Об основах местного самоуправления в Республике Крым», </w:t>
      </w:r>
      <w:hyperlink r:id="rId12" w:history="1">
        <w:r w:rsidRPr="00E202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Крым от 30.12.2015 № 197-ЗРК/2015 «Об увековечении памяти лиц, имеющих выдающиеся достижения и особые заслуги перед Республикой Крым, а также исторических событий», </w:t>
      </w:r>
      <w:hyperlink r:id="rId13" w:history="1">
        <w:r w:rsidRPr="00E202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Уставом</w:t>
        </w:r>
      </w:hyperlink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proofErr w:type="gram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Крым,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8218D9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Зыбинский</w:t>
      </w:r>
      <w:proofErr w:type="spellEnd"/>
      <w:r w:rsidRPr="00E2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сельский совет РЕШИЛ</w:t>
      </w:r>
      <w:r w:rsidR="00210BB5" w:rsidRPr="00E2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</w:t>
      </w:r>
      <w:hyperlink r:id="rId14" w:anchor="P50" w:history="1">
        <w:r w:rsidRPr="00E2021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</w:t>
        </w:r>
      </w:hyperlink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«Об увековечении памяти выдающихся событий и личностей на территории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Зыбинское 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(Приложение №1).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положение о комиссии по рассмотрению обращений об увековечении памяти выдающихся событий и личностей на территории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(Приложение №2).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форму ходатайства об увековечении памяти выдающихся событий и личностей на территории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(Приложение №3).</w:t>
      </w:r>
    </w:p>
    <w:p w:rsidR="008218D9" w:rsidRPr="00E20218" w:rsidRDefault="00210BB5" w:rsidP="008218D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E20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Настоящее решение подлежит обнародованию путём размещения на </w:t>
      </w:r>
      <w:r w:rsidR="008218D9" w:rsidRPr="00E20218">
        <w:rPr>
          <w:rFonts w:ascii="Times New Roman" w:hAnsi="Times New Roman"/>
          <w:sz w:val="24"/>
          <w:szCs w:val="24"/>
        </w:rPr>
        <w:t xml:space="preserve">официальном Портале    Правительства Республики Крым на странице муниципального образования    Белогорский район (http:belogorskiy.rk.gov.ru) в разделе «Муниципальные     образования района», подраздел «Зыбинское сельское поселение», а также официальном сайте администрации сельского поселения </w:t>
      </w:r>
      <w:proofErr w:type="spellStart"/>
      <w:r w:rsidR="008218D9" w:rsidRPr="00E20218">
        <w:rPr>
          <w:rFonts w:ascii="Times New Roman" w:hAnsi="Times New Roman"/>
          <w:sz w:val="24"/>
          <w:szCs w:val="24"/>
        </w:rPr>
        <w:t>http</w:t>
      </w:r>
      <w:proofErr w:type="spellEnd"/>
      <w:r w:rsidR="008218D9" w:rsidRPr="00E20218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="008218D9" w:rsidRPr="00E20218">
        <w:rPr>
          <w:rFonts w:ascii="Times New Roman" w:hAnsi="Times New Roman"/>
          <w:sz w:val="24"/>
          <w:szCs w:val="24"/>
        </w:rPr>
        <w:t>зыбинское</w:t>
      </w:r>
      <w:proofErr w:type="spellEnd"/>
      <w:r w:rsidR="008218D9" w:rsidRPr="00E202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18D9" w:rsidRPr="00E20218">
        <w:rPr>
          <w:rFonts w:ascii="Times New Roman" w:hAnsi="Times New Roman"/>
          <w:sz w:val="24"/>
          <w:szCs w:val="24"/>
        </w:rPr>
        <w:t>-</w:t>
      </w:r>
      <w:proofErr w:type="spellStart"/>
      <w:r w:rsidR="008218D9" w:rsidRPr="00E20218">
        <w:rPr>
          <w:rFonts w:ascii="Times New Roman" w:hAnsi="Times New Roman"/>
          <w:sz w:val="24"/>
          <w:szCs w:val="24"/>
        </w:rPr>
        <w:t>с</w:t>
      </w:r>
      <w:proofErr w:type="gramEnd"/>
      <w:r w:rsidR="008218D9" w:rsidRPr="00E20218">
        <w:rPr>
          <w:rFonts w:ascii="Times New Roman" w:hAnsi="Times New Roman"/>
          <w:sz w:val="24"/>
          <w:szCs w:val="24"/>
        </w:rPr>
        <w:t>п.рф</w:t>
      </w:r>
      <w:proofErr w:type="spellEnd"/>
      <w:r w:rsidR="008218D9" w:rsidRPr="00E20218">
        <w:rPr>
          <w:rFonts w:ascii="Times New Roman" w:hAnsi="Times New Roman"/>
          <w:sz w:val="24"/>
          <w:szCs w:val="24"/>
        </w:rPr>
        <w:t xml:space="preserve"> и на   информационном стенде Зыбинского сельского совета, 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Настоящее постановление вступает в силу со дня его обнародования. 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AE" w:rsidRPr="00E20218" w:rsidRDefault="006810AE" w:rsidP="0068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218D9" w:rsidRPr="00E20218">
        <w:rPr>
          <w:rFonts w:ascii="Times New Roman" w:hAnsi="Times New Roman" w:cs="Times New Roman"/>
          <w:sz w:val="24"/>
          <w:szCs w:val="24"/>
        </w:rPr>
        <w:t>Зыбинского</w:t>
      </w:r>
      <w:r w:rsidRPr="00E20218">
        <w:rPr>
          <w:rFonts w:ascii="Times New Roman" w:hAnsi="Times New Roman" w:cs="Times New Roman"/>
          <w:sz w:val="24"/>
          <w:szCs w:val="24"/>
        </w:rPr>
        <w:t xml:space="preserve"> сельского совета – </w:t>
      </w:r>
    </w:p>
    <w:p w:rsidR="006810AE" w:rsidRPr="00E20218" w:rsidRDefault="006810AE" w:rsidP="0068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8218D9" w:rsidRPr="00E20218">
        <w:rPr>
          <w:rFonts w:ascii="Times New Roman" w:hAnsi="Times New Roman" w:cs="Times New Roman"/>
          <w:sz w:val="24"/>
          <w:szCs w:val="24"/>
        </w:rPr>
        <w:t>Зыбинского</w:t>
      </w:r>
    </w:p>
    <w:p w:rsidR="00E20218" w:rsidRPr="00E20218" w:rsidRDefault="006810AE" w:rsidP="00E2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1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</w:t>
      </w:r>
      <w:r w:rsidR="008218D9" w:rsidRPr="00E20218">
        <w:rPr>
          <w:rFonts w:ascii="Times New Roman" w:hAnsi="Times New Roman" w:cs="Times New Roman"/>
          <w:sz w:val="24"/>
          <w:szCs w:val="24"/>
        </w:rPr>
        <w:tab/>
      </w:r>
      <w:r w:rsidR="008218D9" w:rsidRPr="00E20218">
        <w:rPr>
          <w:rFonts w:ascii="Times New Roman" w:hAnsi="Times New Roman" w:cs="Times New Roman"/>
          <w:sz w:val="24"/>
          <w:szCs w:val="24"/>
        </w:rPr>
        <w:tab/>
      </w:r>
      <w:r w:rsidR="008218D9" w:rsidRPr="00E20218">
        <w:rPr>
          <w:rFonts w:ascii="Times New Roman" w:hAnsi="Times New Roman" w:cs="Times New Roman"/>
          <w:sz w:val="24"/>
          <w:szCs w:val="24"/>
        </w:rPr>
        <w:tab/>
      </w:r>
      <w:r w:rsidR="008218D9" w:rsidRPr="00E20218">
        <w:rPr>
          <w:rFonts w:ascii="Times New Roman" w:hAnsi="Times New Roman" w:cs="Times New Roman"/>
          <w:sz w:val="24"/>
          <w:szCs w:val="24"/>
        </w:rPr>
        <w:tab/>
      </w:r>
      <w:r w:rsidR="008218D9" w:rsidRPr="00E2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18D9" w:rsidRPr="00E20218">
        <w:rPr>
          <w:rFonts w:ascii="Times New Roman" w:hAnsi="Times New Roman" w:cs="Times New Roman"/>
          <w:sz w:val="24"/>
          <w:szCs w:val="24"/>
        </w:rPr>
        <w:t>Т.А.Книжник</w:t>
      </w:r>
      <w:proofErr w:type="spellEnd"/>
      <w:r w:rsidRPr="00E202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2021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8218D9" w:rsidRPr="00E20218" w:rsidRDefault="00210BB5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202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</w:p>
    <w:p w:rsidR="008218D9" w:rsidRPr="00E20218" w:rsidRDefault="008218D9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20218">
        <w:rPr>
          <w:rFonts w:ascii="Times New Roman" w:hAnsi="Times New Roman" w:cs="Times New Roman"/>
          <w:sz w:val="24"/>
          <w:szCs w:val="24"/>
        </w:rPr>
        <w:t>15 сессии 2 созыва Зыбинского</w:t>
      </w:r>
      <w:r w:rsidR="00210BB5" w:rsidRPr="00E20218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210BB5" w:rsidRPr="00E20218" w:rsidRDefault="008218D9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20218">
        <w:rPr>
          <w:rFonts w:ascii="Times New Roman" w:hAnsi="Times New Roman" w:cs="Times New Roman"/>
          <w:sz w:val="24"/>
          <w:szCs w:val="24"/>
        </w:rPr>
        <w:t xml:space="preserve">от  </w:t>
      </w:r>
      <w:r w:rsidR="00E20218" w:rsidRPr="00E20218">
        <w:rPr>
          <w:rFonts w:ascii="Times New Roman" w:hAnsi="Times New Roman" w:cs="Times New Roman"/>
          <w:sz w:val="24"/>
          <w:szCs w:val="24"/>
        </w:rPr>
        <w:t>16.12.</w:t>
      </w:r>
      <w:r w:rsidRPr="00E20218">
        <w:rPr>
          <w:rFonts w:ascii="Times New Roman" w:hAnsi="Times New Roman" w:cs="Times New Roman"/>
          <w:sz w:val="24"/>
          <w:szCs w:val="24"/>
        </w:rPr>
        <w:t xml:space="preserve">   </w:t>
      </w:r>
      <w:r w:rsidR="00210BB5" w:rsidRPr="00E20218">
        <w:rPr>
          <w:rFonts w:ascii="Times New Roman" w:hAnsi="Times New Roman" w:cs="Times New Roman"/>
          <w:sz w:val="24"/>
          <w:szCs w:val="24"/>
        </w:rPr>
        <w:t>2020г.№</w:t>
      </w:r>
      <w:r w:rsidR="00E20218" w:rsidRPr="00E20218">
        <w:rPr>
          <w:rFonts w:ascii="Times New Roman" w:hAnsi="Times New Roman" w:cs="Times New Roman"/>
          <w:sz w:val="24"/>
          <w:szCs w:val="24"/>
        </w:rPr>
        <w:t xml:space="preserve"> 64</w:t>
      </w:r>
      <w:r w:rsidR="00210BB5" w:rsidRPr="00E20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увековечении памяти выдающихся событий и личностей на территории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увековечении памяти выдающихся событий и личностей на территории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- Положение об увековечении памяти) устанавливает общие принципы увековечения памяти выдающихся событий и личностей, порядок рассмотрения вопросов и принятия решений об установке мемориальных сооружений на территории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увековечения памяти - памятник, памятный знак и мемориальная доска;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памятник - скульптурная, </w:t>
      </w:r>
      <w:proofErr w:type="spell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скульптурно</w:t>
      </w:r>
      <w:proofErr w:type="spell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мемориальная доска -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 В тексте мемориальной доски должны быть указаны полностью фамилия, имя, отчество, даты, конкретизирующие время причастности лица или события к месту установки мемориальной доски увековечиваемой памяти гражданина или события. В композицию мемориальных досок, помимо текста, могут включаться портретные изображения, декоративные элементы, подсветка, приспособления для возложения цветов.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1.1 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Увековечение может быть осуществлено путем присвоения имен муниципальным организациям, улицам, скверам, площадям, а также посредством установки памятников, памятных знаков и мемориальных досок.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Увековечение памяти выдающихся граждан в муниципальном образовании 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производится только посмертно и за особо выдающиеся заслуги в экономике, жилищно-коммунальном хозяйстве, науке, культуре, искусстве, спорту, защите Отечества, примерах героизма и самопожертвования, в области труда, воспитании, просвещении, социальной защите, охране здоровья, жизни и прав граждан, благотворительной деятельности и иные заслуги перед муниципальным образованием 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  <w:proofErr w:type="gramEnd"/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Увековечению подлежат только общезначимые события в истории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К ним могут быть отнесены 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крупные события и знаменательные даты, открытия в области науки и техники, выдающиеся достижения в мировой и отечественной культуре и искусстве и т.д.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Увековечение памяти выдающихся событий и личностей в муниципальном образовании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производится на основании решения депутатов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Зыбинского 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совета.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значимость гражданина или события в истории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  <w:proofErr w:type="gramEnd"/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особый вклад гражданина в определенную сферу деятельности, принесший долговременную пользу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Основными формами увековечения памяти являются: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произведений монументального и декоративного искусства;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занесение в Книгу памяти муниципального образования;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присвоение фамилий и имен улицам, площадям, сооружениям и др.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память о выдающемся историческом событии или гражданине может быть установлено только одно мемориальное сооружение.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Мемориальные сооружения, установленные без соответствующего разрешения, демонтируются в установленном действующим законодательством порядке.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осуществляется за счет средств местного бюджета.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Порядок подачи материалов на увековечение памяти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Инициаторами увековечения памяти могут выступать органы государственной власти и органы местного самоуправления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коллективы предприятий, учреждений, организаций независимо от форм собственности, общественные объединения, действующие на территории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инициативные группы жителей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численностью не менее 25 человек.</w:t>
      </w:r>
      <w:proofErr w:type="gram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Родственники не могут быть инициаторами увековечения памяти.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предварительного рассмотрения вопросов, связанных с увековечением памяти, создается комиссия по рассмотрению материалов об увековечивании памяти выдающихся граждан, событий и организаций на территории 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 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- Комиссия), в которую могут входить руководители учреждений, предприятий, организаций, депутаты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совета, известные специалисты в области градостроительства и архитектуры, историки, краеведы Почетные граждане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proofErr w:type="gram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Персональный состав Комиссии утверждаются постановлением главы Администрации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 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ходатайство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надписи на мемориальном сооружении или мемориальной доске - 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сведений о предполагаемом месте установки объекта увековечения памяти с обоснованием его выбора;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-письменного согласования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 в соответствии с Федеральным законом от 25.06.2002 № 73-ФЗ «Об объектах культурного наследия (памятниках истории и культуры) народов Российской Федерации»;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проектного предложения (эскиз, макет) объекта увековечения памяти.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место размещения мемориального сооружения, проект мемориального сооружения должны быть согласованы с Администрацией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присвоения имени улицам, скверам, площадям и др. необходимо: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источниках финансирования работ, связанных с переименованием улицы, сквера, площади, сооружения и др.;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принятия решения об увековечении памяти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результате рассмотрения обращения об увековечении памяти выдающихся событий и личностей на территории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Комиссия принимает решение в форме заключения.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Решение об увековечении памяти, принимаемое Комиссией, служит основанием для его рассмотрения на заседании сессии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Зыбинского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и утверждения его решением.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В случае принятия Комиссией решения об отклонении ходатайства повторное ходатайство может выноситься не ранее чем через год после предыдущего рассмотрения.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Проектирование, изготовление и установка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мемориальных сооружений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Создание мемориальных </w:t>
      </w: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</w:t>
      </w:r>
      <w:proofErr w:type="gram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и место установки объекта увековечения памяти должны отвечать следующим требованиям: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объекта увековечения памяти с учетом его панорамного восприятия;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существующей градостроительной ситуации, окружающей застройки и градостроительных возможностей в случае размещения объекта увековечения памяти на земельном участке.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</w:t>
      </w: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решение</w:t>
      </w:r>
      <w:proofErr w:type="gram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Содержание объектов увековечения памяти осуществляется инициатором.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Объекты увековечения памяти, установленные за счет средств бюджета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принимаются в муниципальную собственность.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Содержание объектов увековечения памяти, являющихся муниципальной собственностью, производится за счет средств бюджета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пределах, имеющихся на эти цели ассигнований.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127"/>
      <w:bookmarkEnd w:id="0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18D9" w:rsidRPr="00E20218" w:rsidRDefault="008218D9" w:rsidP="00210BB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D9" w:rsidRPr="00E20218" w:rsidRDefault="008218D9" w:rsidP="00210BB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D9" w:rsidRPr="00E20218" w:rsidRDefault="008218D9" w:rsidP="00210BB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D9" w:rsidRPr="00E20218" w:rsidRDefault="008218D9" w:rsidP="00210BB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D9" w:rsidRPr="00E20218" w:rsidRDefault="008218D9" w:rsidP="00210BB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D9" w:rsidRPr="00E20218" w:rsidRDefault="008218D9" w:rsidP="00210BB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D9" w:rsidRPr="00E20218" w:rsidRDefault="008218D9" w:rsidP="00210BB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D9" w:rsidRPr="00E20218" w:rsidRDefault="00210BB5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202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решению </w:t>
      </w:r>
      <w:r w:rsidR="008218D9" w:rsidRPr="00E20218">
        <w:rPr>
          <w:rFonts w:ascii="Times New Roman" w:hAnsi="Times New Roman" w:cs="Times New Roman"/>
          <w:sz w:val="24"/>
          <w:szCs w:val="24"/>
        </w:rPr>
        <w:t>Зыбинское</w:t>
      </w:r>
      <w:r w:rsidRPr="00E20218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210BB5" w:rsidRPr="00E20218" w:rsidRDefault="00210BB5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20218">
        <w:rPr>
          <w:rFonts w:ascii="Times New Roman" w:hAnsi="Times New Roman" w:cs="Times New Roman"/>
          <w:sz w:val="24"/>
          <w:szCs w:val="24"/>
        </w:rPr>
        <w:t xml:space="preserve"> </w:t>
      </w:r>
      <w:r w:rsidR="00E20218" w:rsidRPr="00E20218">
        <w:rPr>
          <w:rFonts w:ascii="Times New Roman" w:hAnsi="Times New Roman" w:cs="Times New Roman"/>
          <w:sz w:val="24"/>
          <w:szCs w:val="24"/>
        </w:rPr>
        <w:t>16.12.</w:t>
      </w:r>
      <w:r w:rsidRPr="00E20218">
        <w:rPr>
          <w:rFonts w:ascii="Times New Roman" w:hAnsi="Times New Roman" w:cs="Times New Roman"/>
          <w:sz w:val="24"/>
          <w:szCs w:val="24"/>
        </w:rPr>
        <w:t>2020г.№</w:t>
      </w:r>
      <w:r w:rsidR="00E20218" w:rsidRPr="00E20218">
        <w:rPr>
          <w:rFonts w:ascii="Times New Roman" w:hAnsi="Times New Roman" w:cs="Times New Roman"/>
          <w:sz w:val="24"/>
          <w:szCs w:val="24"/>
        </w:rPr>
        <w:t xml:space="preserve"> 64</w:t>
      </w:r>
      <w:r w:rsidRPr="00E20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 по рассмотрению обращений по увековечению памяти выдающихся событий и личностей на территории муниципального образования 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 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32"/>
      <w:bookmarkEnd w:id="1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Общие положения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рассмотрению обращений об увековечении памяти граждан и исторических событий на территории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- Комиссия) создана в целях рассмотрения обращений об увековечении памяти граждан и исторических событий на территории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 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 демонтаже, переносе или реконструкции объектов увековечения памяти.</w:t>
      </w:r>
      <w:proofErr w:type="gramEnd"/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Комиссия в своей деятельности руководствуется законами и иными правовыми актами Российской Федерации, правовыми актами Республики Крым, а также настоящим Положением.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Комиссия является постоянно действующим совещательным органом при администрации сельского поселения, в состав которого могут входить специалисты в области градостроительства и архитектуры, историки, краеведы, почетные граждане муниципального образования, депутаты</w:t>
      </w:r>
      <w:r w:rsidR="00313E73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совета.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38"/>
      <w:bookmarkEnd w:id="2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функции комиссии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Основными функциями Комиссии являются рассмотрение обращений и подготовка заключений по вопросам увековечения памяти граждан и исторических событий на территории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демонтажа, переноса или реконструкции объекта увековечения памяти при его разрушении или невозможности восстановления.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увековечении памяти граждан и исторических событий на территории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демонтаже, переносе или реконструкции объекта увековечения памяти принимает </w:t>
      </w:r>
      <w:proofErr w:type="spellStart"/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Зыбинский</w:t>
      </w:r>
      <w:proofErr w:type="spell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 путем вынесения соответствующего решения.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143"/>
      <w:bookmarkEnd w:id="3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комиссии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Комиссия имеет право: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на заседания инициатора, внесшего предложение об увековечении памяти;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в средствах массовой информации статьи и информационные сообщения по вопросам своей компетенции.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149"/>
      <w:bookmarkEnd w:id="4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работы комиссии</w:t>
      </w:r>
    </w:p>
    <w:p w:rsidR="00210BB5" w:rsidRPr="00E20218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Заседания Комиссии проводятся в срок не позднее десяти рабочих дней со дня поступления обращения об увековечении памяти граждан и исторических событий на территории муниципального образования либо о демонтаже, переносе или реконструкции объекта увековечения памяти в администрацию сельского поселения.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Заседание Комиссии проводит председатель, в его отсутствие один из заместителей.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 Заседание Комиссии считается правомочным, если на нем присутствует не менее двух третей членов Комиссии.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4.4.Решения Комиссии принимаются большинством голосов присутствующих на заседании членов Комиссии. При равенстве голосов голос председателя является решающим.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Комиссия принимает решение в форме заключения. Заключение Комиссии подписывается председателем и членами Комиссии, присутствовавшими на заседании.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 течение пяти рабочих дней </w:t>
      </w: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подготовки</w:t>
      </w:r>
      <w:proofErr w:type="gram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заключения, заявителю направляется письменное уведомление о результатах рассмотрения обращения.</w:t>
      </w:r>
    </w:p>
    <w:p w:rsidR="00210BB5" w:rsidRPr="00E20218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Обеспечение деятельности Комиссии осуществляется Администрацией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 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18D9" w:rsidRPr="00E20218" w:rsidRDefault="008218D9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218" w:rsidRDefault="00E20218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780BC3" w:rsidRPr="00E20218" w:rsidRDefault="00210BB5" w:rsidP="00780BC3">
      <w:pPr>
        <w:spacing w:after="0" w:line="240" w:lineRule="auto"/>
        <w:ind w:left="411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решению </w:t>
      </w:r>
      <w:r w:rsidR="008218D9" w:rsidRPr="00E20218">
        <w:rPr>
          <w:rFonts w:ascii="Times New Roman" w:hAnsi="Times New Roman" w:cs="Times New Roman"/>
          <w:sz w:val="24"/>
          <w:szCs w:val="24"/>
        </w:rPr>
        <w:t>Зыбинское</w:t>
      </w:r>
      <w:r w:rsidRPr="00E20218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E20218" w:rsidRPr="00E20218">
        <w:rPr>
          <w:rFonts w:ascii="Times New Roman" w:hAnsi="Times New Roman" w:cs="Times New Roman"/>
          <w:sz w:val="24"/>
          <w:szCs w:val="24"/>
        </w:rPr>
        <w:t>16</w:t>
      </w:r>
      <w:r w:rsidRPr="00E20218">
        <w:rPr>
          <w:rFonts w:ascii="Times New Roman" w:hAnsi="Times New Roman" w:cs="Times New Roman"/>
          <w:sz w:val="24"/>
          <w:szCs w:val="24"/>
        </w:rPr>
        <w:t>.</w:t>
      </w:r>
      <w:r w:rsidR="00E20218" w:rsidRPr="00E20218">
        <w:rPr>
          <w:rFonts w:ascii="Times New Roman" w:hAnsi="Times New Roman" w:cs="Times New Roman"/>
          <w:sz w:val="24"/>
          <w:szCs w:val="24"/>
        </w:rPr>
        <w:t>12</w:t>
      </w:r>
      <w:r w:rsidRPr="00E20218">
        <w:rPr>
          <w:rFonts w:ascii="Times New Roman" w:hAnsi="Times New Roman" w:cs="Times New Roman"/>
          <w:sz w:val="24"/>
          <w:szCs w:val="24"/>
        </w:rPr>
        <w:t>.2020г.№</w:t>
      </w:r>
      <w:r w:rsidR="00E20218" w:rsidRPr="00E20218">
        <w:rPr>
          <w:rFonts w:ascii="Times New Roman" w:hAnsi="Times New Roman" w:cs="Times New Roman"/>
          <w:sz w:val="24"/>
          <w:szCs w:val="24"/>
        </w:rPr>
        <w:t xml:space="preserve"> 64</w:t>
      </w:r>
      <w:r w:rsidRPr="00E20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BC3" w:rsidRPr="00E20218" w:rsidRDefault="00780BC3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BB7" w:rsidRPr="00E20218" w:rsidRDefault="00EE4BB7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BC3" w:rsidRPr="00E20218" w:rsidRDefault="00780BC3" w:rsidP="00780BC3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комиссию по рассмотрению обращений об увековечении                                                         памяти выдающихся событий и личностей на территории                                                                       муниципального образования </w:t>
      </w:r>
      <w:r w:rsidR="008218D9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                                                                      поселение </w:t>
      </w:r>
      <w:r w:rsidR="00702B8C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210BB5" w:rsidRPr="00E20218" w:rsidRDefault="00210BB5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</w:t>
      </w:r>
    </w:p>
    <w:p w:rsidR="00210BB5" w:rsidRPr="00E20218" w:rsidRDefault="008218D9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Зыбинское </w:t>
      </w:r>
      <w:r w:rsidR="00D76662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__________________________________________</w:t>
      </w:r>
      <w:r w:rsidR="00210BB5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10BB5" w:rsidRPr="00E20218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 (наименование предприятия, учреждения, коллектива и т. д.)</w:t>
      </w:r>
    </w:p>
    <w:p w:rsidR="00210BB5" w:rsidRPr="00E20218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увековечении памяти</w:t>
      </w:r>
      <w:r w:rsidR="00D76662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E2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</w:t>
      </w: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обытие</w:t>
      </w:r>
      <w:proofErr w:type="spell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</w:t>
      </w:r>
    </w:p>
    <w:p w:rsidR="00210BB5" w:rsidRPr="00E20218" w:rsidRDefault="00D76662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210BB5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_____(форма увековечения)</w:t>
      </w:r>
    </w:p>
    <w:p w:rsidR="00210BB5" w:rsidRPr="00E20218" w:rsidRDefault="00D76662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210BB5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10BB5" w:rsidRPr="00E20218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жизненного пути, заслуг и т.д.)</w:t>
      </w:r>
    </w:p>
    <w:p w:rsidR="00210BB5" w:rsidRPr="00E20218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поддержать ходатайство об увековечении памяти </w:t>
      </w:r>
      <w:r w:rsidR="00D76662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 </w:t>
      </w:r>
    </w:p>
    <w:p w:rsidR="00210BB5" w:rsidRPr="00E20218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</w:t>
      </w: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событие,)</w:t>
      </w:r>
    </w:p>
    <w:p w:rsidR="00210BB5" w:rsidRPr="00E20218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</w:t>
      </w:r>
      <w:proofErr w:type="gramStart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6662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210BB5" w:rsidRPr="00E20218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(изготовлению, сооружению, установке и т. д.)</w:t>
      </w:r>
    </w:p>
    <w:p w:rsidR="00210BB5" w:rsidRPr="00E20218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произведены за счет средств </w:t>
      </w:r>
      <w:r w:rsidR="00D76662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(наименование предприятия, учреждения, коллектива и т. д.)</w:t>
      </w:r>
    </w:p>
    <w:p w:rsidR="00210BB5" w:rsidRPr="00E20218" w:rsidRDefault="00D76662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10BB5" w:rsidRPr="00E20218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ФИО лица, подписавшего ходатайство)</w:t>
      </w:r>
      <w:r w:rsidRPr="00E2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 w:rsidR="00D76662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 </w:t>
      </w:r>
      <w:r w:rsidR="00EE4BB7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D76662"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«___»__________________</w:t>
      </w:r>
      <w:r w:rsidRPr="00E2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20__г.</w:t>
      </w:r>
    </w:p>
    <w:p w:rsidR="00210BB5" w:rsidRPr="00E20218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0BB5" w:rsidRPr="00E20218" w:rsidRDefault="00210BB5" w:rsidP="00210BB5">
      <w:pPr>
        <w:rPr>
          <w:sz w:val="24"/>
          <w:szCs w:val="24"/>
        </w:rPr>
      </w:pPr>
    </w:p>
    <w:p w:rsidR="00F12B2E" w:rsidRPr="00E20218" w:rsidRDefault="00F12B2E" w:rsidP="00AC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B2E" w:rsidRPr="00E20218" w:rsidSect="006A7907">
      <w:headerReference w:type="default" r:id="rId15"/>
      <w:headerReference w:type="first" r:id="rId16"/>
      <w:pgSz w:w="11900" w:h="16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22" w:rsidRDefault="00F34422">
      <w:pPr>
        <w:spacing w:after="0" w:line="240" w:lineRule="auto"/>
      </w:pPr>
      <w:r>
        <w:separator/>
      </w:r>
    </w:p>
  </w:endnote>
  <w:endnote w:type="continuationSeparator" w:id="0">
    <w:p w:rsidR="00F34422" w:rsidRDefault="00F3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22" w:rsidRDefault="00F34422">
      <w:pPr>
        <w:spacing w:after="0" w:line="240" w:lineRule="auto"/>
      </w:pPr>
      <w:r>
        <w:separator/>
      </w:r>
    </w:p>
  </w:footnote>
  <w:footnote w:type="continuationSeparator" w:id="0">
    <w:p w:rsidR="00F34422" w:rsidRDefault="00F3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F34422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04463A">
    <w:pPr>
      <w:spacing w:after="0"/>
      <w:ind w:left="720"/>
    </w:pPr>
    <w:r>
      <w:rPr>
        <w:rFonts w:ascii="Times New Roman" w:eastAsia="Times New Roman" w:hAnsi="Times New Roman" w:cs="Times New Roman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E79"/>
    <w:multiLevelType w:val="hybridMultilevel"/>
    <w:tmpl w:val="5F4C4E38"/>
    <w:lvl w:ilvl="0" w:tplc="413E7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832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8E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A39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3C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EBE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AC7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25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82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FA50AA"/>
    <w:multiLevelType w:val="multilevel"/>
    <w:tmpl w:val="7C0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878A1"/>
    <w:multiLevelType w:val="hybridMultilevel"/>
    <w:tmpl w:val="F9C6BA30"/>
    <w:lvl w:ilvl="0" w:tplc="7DA6BD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D7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CE8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6F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64A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ADA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27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497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7F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462FB"/>
    <w:multiLevelType w:val="hybridMultilevel"/>
    <w:tmpl w:val="10B43DDC"/>
    <w:lvl w:ilvl="0" w:tplc="92262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2DF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ED6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5C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6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665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2D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FA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D3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6E2096"/>
    <w:multiLevelType w:val="multilevel"/>
    <w:tmpl w:val="ADC00F3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E6"/>
    <w:rsid w:val="0004265B"/>
    <w:rsid w:val="0004463A"/>
    <w:rsid w:val="000B3BBF"/>
    <w:rsid w:val="000B61E0"/>
    <w:rsid w:val="00112B5F"/>
    <w:rsid w:val="001C4ACB"/>
    <w:rsid w:val="00210BB5"/>
    <w:rsid w:val="002424EA"/>
    <w:rsid w:val="00260DEC"/>
    <w:rsid w:val="002B435F"/>
    <w:rsid w:val="00313E73"/>
    <w:rsid w:val="00374F6E"/>
    <w:rsid w:val="003C3986"/>
    <w:rsid w:val="0042688E"/>
    <w:rsid w:val="00441527"/>
    <w:rsid w:val="00612BBC"/>
    <w:rsid w:val="006810AE"/>
    <w:rsid w:val="00702B8C"/>
    <w:rsid w:val="00780BC3"/>
    <w:rsid w:val="007E30EE"/>
    <w:rsid w:val="008175E3"/>
    <w:rsid w:val="008218D9"/>
    <w:rsid w:val="00AC71E6"/>
    <w:rsid w:val="00CB1995"/>
    <w:rsid w:val="00D04001"/>
    <w:rsid w:val="00D40AA3"/>
    <w:rsid w:val="00D511A2"/>
    <w:rsid w:val="00D76662"/>
    <w:rsid w:val="00D768F7"/>
    <w:rsid w:val="00D9731E"/>
    <w:rsid w:val="00E20218"/>
    <w:rsid w:val="00EB351E"/>
    <w:rsid w:val="00EE4BB7"/>
    <w:rsid w:val="00F12B2E"/>
    <w:rsid w:val="00F34422"/>
    <w:rsid w:val="00F65DEF"/>
    <w:rsid w:val="00F67D2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5"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1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0BB5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8218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8218D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5"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1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0BB5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8218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8218D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Метельский Александр Андреевич</dc:creator>
  <cp:lastModifiedBy>Пользователь</cp:lastModifiedBy>
  <cp:revision>11</cp:revision>
  <cp:lastPrinted>2020-12-18T09:16:00Z</cp:lastPrinted>
  <dcterms:created xsi:type="dcterms:W3CDTF">2020-12-15T13:48:00Z</dcterms:created>
  <dcterms:modified xsi:type="dcterms:W3CDTF">2020-12-18T09:16:00Z</dcterms:modified>
</cp:coreProperties>
</file>